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bookmarkStart w:colFirst="0" w:colLast="0" w:name="_heading=h.q5nf4ej1193i" w:id="0"/>
      <w:bookmarkEnd w:id="0"/>
      <w:r w:rsidDel="00000000" w:rsidR="00000000" w:rsidRPr="00000000">
        <w:rPr>
          <w:rtl w:val="0"/>
        </w:rPr>
        <w:t xml:space="preserve">Financial Approvals Policy</w:t>
      </w:r>
    </w:p>
    <w:p w:rsidR="00000000" w:rsidDel="00000000" w:rsidP="00000000" w:rsidRDefault="00000000" w:rsidRPr="00000000" w14:paraId="00000002">
      <w:pPr>
        <w:spacing w:after="0" w:line="276" w:lineRule="auto"/>
        <w:ind w:right="6"/>
        <w:rPr>
          <w:rFonts w:ascii="Poppins" w:cs="Poppins" w:eastAsia="Poppins" w:hAnsi="Poppins"/>
        </w:rPr>
      </w:pPr>
      <w:r w:rsidDel="00000000" w:rsidR="00000000" w:rsidRPr="00000000">
        <w:rPr>
          <w:rFonts w:ascii="Poppins" w:cs="Poppins" w:eastAsia="Poppins" w:hAnsi="Poppins"/>
          <w:rtl w:val="0"/>
        </w:rPr>
        <w:t xml:space="preserve">Mosaic LGBT+ Young Persons’ Trust, Charity Number 1166676</w:t>
      </w:r>
    </w:p>
    <w:p w:rsidR="00000000" w:rsidDel="00000000" w:rsidP="00000000" w:rsidRDefault="00000000" w:rsidRPr="00000000" w14:paraId="00000003">
      <w:pPr>
        <w:spacing w:after="0" w:line="276" w:lineRule="auto"/>
        <w:rPr>
          <w:rFonts w:ascii="Poppins" w:cs="Poppins" w:eastAsia="Poppins" w:hAnsi="Poppins"/>
        </w:rPr>
      </w:pPr>
      <w:r w:rsidDel="00000000" w:rsidR="00000000" w:rsidRPr="00000000">
        <w:rPr>
          <w:rtl w:val="0"/>
        </w:rPr>
      </w:r>
    </w:p>
    <w:p w:rsidR="00000000" w:rsidDel="00000000" w:rsidP="00000000" w:rsidRDefault="00000000" w:rsidRPr="00000000" w14:paraId="00000004">
      <w:pPr>
        <w:spacing w:after="200" w:line="276" w:lineRule="auto"/>
        <w:ind w:right="6"/>
        <w:rPr>
          <w:rFonts w:ascii="Poppins" w:cs="Poppins" w:eastAsia="Poppins" w:hAnsi="Poppins"/>
          <w:b w:val="1"/>
          <w:bCs w:val="1"/>
        </w:rPr>
      </w:pPr>
      <w:r w:rsidDel="00000000" w:rsidR="00000000" w:rsidRPr="00000000">
        <w:rPr>
          <w:rtl w:val="0"/>
        </w:rPr>
      </w:r>
    </w:p>
    <w:p w:rsidR="00000000" w:rsidDel="00000000" w:rsidP="00000000" w:rsidRDefault="00000000" w:rsidRPr="00000000" w14:paraId="00000005">
      <w:pPr>
        <w:spacing w:after="200" w:line="276" w:lineRule="auto"/>
        <w:ind w:right="6"/>
        <w:rPr>
          <w:rFonts w:ascii="Poppins" w:cs="Poppins" w:eastAsia="Poppins" w:hAnsi="Poppins"/>
          <w:b w:val="1"/>
          <w:bCs w:val="1"/>
        </w:rPr>
      </w:pPr>
      <w:r w:rsidDel="00000000" w:rsidR="00000000" w:rsidRPr="00000000">
        <w:rPr>
          <w:rtl w:val="0"/>
        </w:rPr>
      </w:r>
    </w:p>
    <w:p w:rsidR="00000000" w:rsidDel="00000000" w:rsidP="00000000" w:rsidRDefault="00000000" w:rsidRPr="00000000" w14:paraId="00000006">
      <w:pPr>
        <w:spacing w:after="200" w:line="276" w:lineRule="auto"/>
        <w:ind w:right="6"/>
        <w:rPr>
          <w:rFonts w:ascii="Poppins" w:cs="Poppins" w:eastAsia="Poppins" w:hAnsi="Poppins"/>
          <w:b w:val="1"/>
          <w:bCs w:val="1"/>
        </w:rPr>
      </w:pPr>
      <w:r w:rsidDel="00000000" w:rsidR="00000000" w:rsidRPr="00000000">
        <w:rPr>
          <w:rtl w:val="0"/>
        </w:rPr>
      </w:r>
    </w:p>
    <w:p w:rsidR="00000000" w:rsidDel="00000000" w:rsidP="00000000" w:rsidRDefault="00000000" w:rsidRPr="00000000" w14:paraId="00000007">
      <w:pPr>
        <w:spacing w:after="200" w:line="276" w:lineRule="auto"/>
        <w:ind w:right="6"/>
        <w:rPr>
          <w:rFonts w:ascii="Poppins" w:cs="Poppins" w:eastAsia="Poppins" w:hAnsi="Poppins"/>
          <w:b w:val="1"/>
          <w:bCs w:val="1"/>
        </w:rPr>
      </w:pPr>
      <w:r w:rsidDel="00000000" w:rsidR="00000000" w:rsidRPr="00000000">
        <w:rPr>
          <w:rtl w:val="0"/>
        </w:rPr>
      </w:r>
    </w:p>
    <w:p w:rsidR="00000000" w:rsidDel="00000000" w:rsidP="00000000" w:rsidRDefault="00000000" w:rsidRPr="00000000" w14:paraId="00000008">
      <w:pPr>
        <w:spacing w:after="200" w:line="276" w:lineRule="auto"/>
        <w:ind w:right="6"/>
        <w:rPr>
          <w:rFonts w:ascii="Poppins" w:cs="Poppins" w:eastAsia="Poppins" w:hAnsi="Poppins"/>
          <w:b w:val="1"/>
          <w:bCs w:val="1"/>
        </w:rPr>
      </w:pPr>
      <w:r w:rsidDel="00000000" w:rsidR="00000000" w:rsidRPr="00000000">
        <w:rPr>
          <w:rtl w:val="0"/>
        </w:rPr>
      </w:r>
    </w:p>
    <w:p w:rsidR="00000000" w:rsidDel="00000000" w:rsidP="00000000" w:rsidRDefault="00000000" w:rsidRPr="00000000" w14:paraId="00000009">
      <w:pPr>
        <w:spacing w:after="200" w:line="276" w:lineRule="auto"/>
        <w:ind w:right="6"/>
        <w:rPr>
          <w:rFonts w:ascii="Poppins" w:cs="Poppins" w:eastAsia="Poppins" w:hAnsi="Poppins"/>
          <w:b w:val="1"/>
          <w:bCs w:val="1"/>
        </w:rPr>
      </w:pPr>
      <w:r w:rsidDel="00000000" w:rsidR="00000000" w:rsidRPr="00000000">
        <w:rPr>
          <w:rtl w:val="0"/>
        </w:rPr>
      </w:r>
    </w:p>
    <w:p w:rsidR="00000000" w:rsidDel="00000000" w:rsidP="00000000" w:rsidRDefault="00000000" w:rsidRPr="00000000" w14:paraId="0000000A">
      <w:pPr>
        <w:spacing w:after="200" w:line="276" w:lineRule="auto"/>
        <w:ind w:right="6"/>
        <w:rPr>
          <w:rFonts w:ascii="Poppins" w:cs="Poppins" w:eastAsia="Poppins" w:hAnsi="Poppins"/>
          <w:b w:val="1"/>
          <w:bCs w:val="1"/>
        </w:rPr>
      </w:pPr>
      <w:r w:rsidDel="00000000" w:rsidR="00000000" w:rsidRPr="00000000">
        <w:rPr>
          <w:rtl w:val="0"/>
        </w:rPr>
      </w:r>
    </w:p>
    <w:p w:rsidR="00000000" w:rsidDel="00000000" w:rsidP="00000000" w:rsidRDefault="00000000" w:rsidRPr="00000000" w14:paraId="0000000B">
      <w:pPr>
        <w:spacing w:after="200" w:line="276" w:lineRule="auto"/>
        <w:ind w:right="6"/>
        <w:rPr>
          <w:rFonts w:ascii="Poppins" w:cs="Poppins" w:eastAsia="Poppins" w:hAnsi="Poppins"/>
        </w:rPr>
      </w:pPr>
      <w:r w:rsidDel="00000000" w:rsidR="00000000" w:rsidRPr="00000000">
        <w:rPr>
          <w:rFonts w:ascii="Poppins" w:cs="Poppins" w:eastAsia="Poppins" w:hAnsi="Poppins"/>
          <w:b w:val="1"/>
          <w:bCs w:val="1"/>
          <w:rtl w:val="0"/>
        </w:rPr>
        <w:t xml:space="preserve">Policy Owner: </w:t>
      </w:r>
      <w:r w:rsidDel="00000000" w:rsidR="00000000" w:rsidRPr="00000000">
        <w:rPr>
          <w:rFonts w:ascii="Poppins" w:cs="Poppins" w:eastAsia="Poppins" w:hAnsi="Poppins"/>
          <w:rtl w:val="0"/>
        </w:rPr>
        <w:t xml:space="preserve">FRG Committee</w:t>
      </w:r>
    </w:p>
    <w:p w:rsidR="00000000" w:rsidDel="00000000" w:rsidP="00000000" w:rsidRDefault="00000000" w:rsidRPr="00000000" w14:paraId="0000000C">
      <w:pPr>
        <w:spacing w:after="200" w:line="276" w:lineRule="auto"/>
        <w:ind w:right="6"/>
        <w:rPr>
          <w:rFonts w:ascii="Poppins" w:cs="Poppins" w:eastAsia="Poppins" w:hAnsi="Poppins"/>
        </w:rPr>
      </w:pPr>
      <w:r w:rsidDel="00000000" w:rsidR="00000000" w:rsidRPr="00000000">
        <w:rPr>
          <w:rFonts w:ascii="Poppins" w:cs="Poppins" w:eastAsia="Poppins" w:hAnsi="Poppins"/>
          <w:b w:val="1"/>
          <w:bCs w:val="1"/>
          <w:rtl w:val="0"/>
        </w:rPr>
        <w:t xml:space="preserve">Review Cycle:</w:t>
      </w:r>
      <w:r w:rsidDel="00000000" w:rsidR="00000000" w:rsidRPr="00000000">
        <w:rPr>
          <w:rFonts w:ascii="Poppins" w:cs="Poppins" w:eastAsia="Poppins" w:hAnsi="Poppins"/>
          <w:rtl w:val="0"/>
        </w:rPr>
        <w:t xml:space="preserve"> 36 months</w:t>
      </w:r>
    </w:p>
    <w:p w:rsidR="00000000" w:rsidDel="00000000" w:rsidP="00000000" w:rsidRDefault="00000000" w:rsidRPr="00000000" w14:paraId="0000000D">
      <w:pPr>
        <w:spacing w:after="200" w:line="276" w:lineRule="auto"/>
        <w:ind w:right="6"/>
        <w:rPr>
          <w:rFonts w:ascii="Poppins" w:cs="Poppins" w:eastAsia="Poppins" w:hAnsi="Poppins"/>
          <w:b w:val="1"/>
          <w:bCs w:val="1"/>
        </w:rPr>
      </w:pPr>
      <w:r w:rsidDel="00000000" w:rsidR="00000000" w:rsidRPr="00000000">
        <w:rPr>
          <w:rFonts w:ascii="Poppins" w:cs="Poppins" w:eastAsia="Poppins" w:hAnsi="Poppins"/>
          <w:b w:val="1"/>
          <w:bCs w:val="1"/>
          <w:rtl w:val="0"/>
        </w:rPr>
        <w:t xml:space="preserve">Next Review Date: </w:t>
      </w:r>
      <w:r w:rsidDel="00000000" w:rsidR="00000000" w:rsidRPr="00000000">
        <w:rPr>
          <w:rFonts w:ascii="Poppins" w:cs="Poppins" w:eastAsia="Poppins" w:hAnsi="Poppins"/>
          <w:rtl w:val="0"/>
        </w:rPr>
        <w:t xml:space="preserve">May 2029 (Updated and re-approved May 2026)</w:t>
      </w:r>
      <w:r w:rsidDel="00000000" w:rsidR="00000000" w:rsidRPr="00000000">
        <w:rPr>
          <w:rtl w:val="0"/>
        </w:rPr>
      </w:r>
    </w:p>
    <w:p w:rsidR="00000000" w:rsidDel="00000000" w:rsidP="00000000" w:rsidRDefault="00000000" w:rsidRPr="00000000" w14:paraId="0000000E">
      <w:pPr>
        <w:spacing w:after="200" w:line="276" w:lineRule="auto"/>
        <w:ind w:right="6"/>
        <w:rPr>
          <w:rFonts w:ascii="Poppins" w:cs="Poppins" w:eastAsia="Poppins" w:hAnsi="Poppins"/>
          <w:b w:val="1"/>
          <w:bCs w:val="1"/>
        </w:rPr>
      </w:pPr>
      <w:r w:rsidDel="00000000" w:rsidR="00000000" w:rsidRPr="00000000">
        <w:rPr>
          <w:rtl w:val="0"/>
        </w:rPr>
      </w:r>
    </w:p>
    <w:p w:rsidR="00000000" w:rsidDel="00000000" w:rsidP="00000000" w:rsidRDefault="00000000" w:rsidRPr="00000000" w14:paraId="0000000F">
      <w:pPr>
        <w:spacing w:after="0" w:line="276" w:lineRule="auto"/>
        <w:rPr>
          <w:rFonts w:ascii="Poppins" w:cs="Poppins" w:eastAsia="Poppins" w:hAnsi="Poppins"/>
          <w:b w:val="1"/>
          <w:bCs w:val="1"/>
        </w:rPr>
      </w:pPr>
      <w:r w:rsidDel="00000000" w:rsidR="00000000" w:rsidRPr="00000000">
        <w:rPr>
          <w:rFonts w:ascii="Poppins" w:cs="Poppins" w:eastAsia="Poppins" w:hAnsi="Poppins"/>
          <w:b w:val="1"/>
          <w:bCs w:val="1"/>
          <w:rtl w:val="0"/>
        </w:rPr>
        <w:t xml:space="preserve">M</w:t>
        <w:tab/>
        <w:t xml:space="preserve">Mindful</w:t>
      </w:r>
    </w:p>
    <w:p w:rsidR="00000000" w:rsidDel="00000000" w:rsidP="00000000" w:rsidRDefault="00000000" w:rsidRPr="00000000" w14:paraId="00000010">
      <w:pPr>
        <w:spacing w:after="0" w:line="276" w:lineRule="auto"/>
        <w:rPr>
          <w:rFonts w:ascii="Poppins" w:cs="Poppins" w:eastAsia="Poppins" w:hAnsi="Poppins"/>
          <w:b w:val="1"/>
          <w:bCs w:val="1"/>
        </w:rPr>
      </w:pPr>
      <w:r w:rsidDel="00000000" w:rsidR="00000000" w:rsidRPr="00000000">
        <w:rPr>
          <w:rFonts w:ascii="Poppins" w:cs="Poppins" w:eastAsia="Poppins" w:hAnsi="Poppins"/>
          <w:b w:val="1"/>
          <w:bCs w:val="1"/>
          <w:rtl w:val="0"/>
        </w:rPr>
        <w:t xml:space="preserve">O</w:t>
        <w:tab/>
        <w:t xml:space="preserve">Open</w:t>
      </w:r>
    </w:p>
    <w:p w:rsidR="00000000" w:rsidDel="00000000" w:rsidP="00000000" w:rsidRDefault="00000000" w:rsidRPr="00000000" w14:paraId="00000011">
      <w:pPr>
        <w:spacing w:after="0" w:line="276" w:lineRule="auto"/>
        <w:rPr>
          <w:rFonts w:ascii="Poppins" w:cs="Poppins" w:eastAsia="Poppins" w:hAnsi="Poppins"/>
          <w:b w:val="1"/>
          <w:bCs w:val="1"/>
        </w:rPr>
      </w:pPr>
      <w:r w:rsidDel="00000000" w:rsidR="00000000" w:rsidRPr="00000000">
        <w:rPr>
          <w:rFonts w:ascii="Poppins" w:cs="Poppins" w:eastAsia="Poppins" w:hAnsi="Poppins"/>
          <w:b w:val="1"/>
          <w:bCs w:val="1"/>
          <w:rtl w:val="0"/>
        </w:rPr>
        <w:t xml:space="preserve">S</w:t>
        <w:tab/>
        <w:t xml:space="preserve">Safe</w:t>
      </w:r>
    </w:p>
    <w:p w:rsidR="00000000" w:rsidDel="00000000" w:rsidP="00000000" w:rsidRDefault="00000000" w:rsidRPr="00000000" w14:paraId="00000012">
      <w:pPr>
        <w:spacing w:after="0" w:line="276" w:lineRule="auto"/>
        <w:rPr>
          <w:rFonts w:ascii="Poppins" w:cs="Poppins" w:eastAsia="Poppins" w:hAnsi="Poppins"/>
          <w:b w:val="1"/>
          <w:bCs w:val="1"/>
        </w:rPr>
      </w:pPr>
      <w:r w:rsidDel="00000000" w:rsidR="00000000" w:rsidRPr="00000000">
        <w:rPr>
          <w:rFonts w:ascii="Poppins" w:cs="Poppins" w:eastAsia="Poppins" w:hAnsi="Poppins"/>
          <w:b w:val="1"/>
          <w:bCs w:val="1"/>
          <w:rtl w:val="0"/>
        </w:rPr>
        <w:t xml:space="preserve">A</w:t>
        <w:tab/>
        <w:t xml:space="preserve">Agile</w:t>
      </w:r>
    </w:p>
    <w:p w:rsidR="00000000" w:rsidDel="00000000" w:rsidP="00000000" w:rsidRDefault="00000000" w:rsidRPr="00000000" w14:paraId="00000013">
      <w:pPr>
        <w:spacing w:after="0" w:line="276" w:lineRule="auto"/>
        <w:rPr>
          <w:rFonts w:ascii="Poppins" w:cs="Poppins" w:eastAsia="Poppins" w:hAnsi="Poppins"/>
          <w:b w:val="1"/>
          <w:bCs w:val="1"/>
        </w:rPr>
      </w:pPr>
      <w:r w:rsidDel="00000000" w:rsidR="00000000" w:rsidRPr="00000000">
        <w:rPr>
          <w:rFonts w:ascii="Poppins" w:cs="Poppins" w:eastAsia="Poppins" w:hAnsi="Poppins"/>
          <w:b w:val="1"/>
          <w:bCs w:val="1"/>
          <w:rtl w:val="0"/>
        </w:rPr>
        <w:t xml:space="preserve">I</w:t>
        <w:tab/>
        <w:t xml:space="preserve">Inclusive</w:t>
      </w:r>
    </w:p>
    <w:p w:rsidR="00000000" w:rsidDel="00000000" w:rsidP="00000000" w:rsidRDefault="00000000" w:rsidRPr="00000000" w14:paraId="00000014">
      <w:pPr>
        <w:spacing w:after="0" w:line="276" w:lineRule="auto"/>
        <w:rPr>
          <w:rFonts w:ascii="Poppins" w:cs="Poppins" w:eastAsia="Poppins" w:hAnsi="Poppins"/>
          <w:b w:val="1"/>
          <w:bCs w:val="1"/>
        </w:rPr>
      </w:pPr>
      <w:r w:rsidDel="00000000" w:rsidR="00000000" w:rsidRPr="00000000">
        <w:rPr>
          <w:rFonts w:ascii="Poppins" w:cs="Poppins" w:eastAsia="Poppins" w:hAnsi="Poppins"/>
          <w:b w:val="1"/>
          <w:bCs w:val="1"/>
          <w:rtl w:val="0"/>
        </w:rPr>
        <w:t xml:space="preserve">C</w:t>
        <w:tab/>
        <w:t xml:space="preserve">Community</w:t>
      </w:r>
    </w:p>
    <w:p w:rsidR="00000000" w:rsidDel="00000000" w:rsidP="00000000" w:rsidRDefault="00000000" w:rsidRPr="00000000" w14:paraId="00000015">
      <w:pPr>
        <w:rPr>
          <w:rFonts w:ascii="Poppins" w:cs="Poppins" w:eastAsia="Poppins" w:hAnsi="Poppins"/>
          <w:b w:val="1"/>
          <w:bCs w:val="1"/>
        </w:rPr>
      </w:pPr>
      <w:r w:rsidDel="00000000" w:rsidR="00000000" w:rsidRPr="00000000">
        <w:rPr>
          <w:rtl w:val="0"/>
        </w:rPr>
      </w:r>
    </w:p>
    <w:p w:rsidR="00000000" w:rsidDel="00000000" w:rsidP="00000000" w:rsidRDefault="00000000" w:rsidRPr="00000000" w14:paraId="00000016">
      <w:pPr>
        <w:pStyle w:val="Heading1"/>
        <w:rPr>
          <w:sz w:val="48"/>
          <w:szCs w:val="48"/>
        </w:rPr>
      </w:pPr>
      <w:bookmarkStart w:colFirst="0" w:colLast="0" w:name="_heading=h.v7wh82u60oox" w:id="1"/>
      <w:bookmarkEnd w:id="1"/>
      <w:r w:rsidDel="00000000" w:rsidR="00000000" w:rsidRPr="00000000">
        <w:rPr>
          <w:rtl w:val="0"/>
        </w:rPr>
        <w:t xml:space="preserve">Spending approvals</w:t>
      </w:r>
      <w:r w:rsidDel="00000000" w:rsidR="00000000" w:rsidRPr="00000000">
        <w:rPr>
          <w:rtl w:val="0"/>
        </w:rPr>
      </w:r>
    </w:p>
    <w:p w:rsidR="00000000" w:rsidDel="00000000" w:rsidP="00000000" w:rsidRDefault="00000000" w:rsidRPr="00000000" w14:paraId="00000017">
      <w:pPr>
        <w:pBdr>
          <w:top w:space="0" w:sz="0" w:val="nil"/>
          <w:left w:space="0" w:sz="0" w:val="nil"/>
          <w:bottom w:space="0" w:sz="0" w:val="nil"/>
          <w:right w:space="0" w:sz="0" w:val="nil"/>
          <w:between w:space="0" w:sz="0" w:val="nil"/>
        </w:pBdr>
        <w:rPr>
          <w:rFonts w:ascii="Poppins" w:cs="Poppins" w:eastAsia="Poppins" w:hAnsi="Poppins"/>
        </w:rPr>
      </w:pPr>
      <w:r w:rsidDel="00000000" w:rsidR="00000000" w:rsidRPr="00000000">
        <w:rPr>
          <w:rFonts w:ascii="Poppins" w:cs="Poppins" w:eastAsia="Poppins" w:hAnsi="Poppins"/>
          <w:rtl w:val="0"/>
        </w:rPr>
        <w:t xml:space="preserve">The Executive Director has the authority to spend up to £500 on an item or set of items without requiring further approval. Linked items should not be split or spread over several months to circumvent the rule, but rather treated as a single amount. This is checked and monitored by the Chair. </w:t>
      </w:r>
    </w:p>
    <w:p w:rsidR="00000000" w:rsidDel="00000000" w:rsidP="00000000" w:rsidRDefault="00000000" w:rsidRPr="00000000" w14:paraId="00000018">
      <w:pPr>
        <w:pBdr>
          <w:top w:space="0" w:sz="0" w:val="nil"/>
          <w:left w:space="0" w:sz="0" w:val="nil"/>
          <w:bottom w:space="0" w:sz="0" w:val="nil"/>
          <w:right w:space="0" w:sz="0" w:val="nil"/>
          <w:between w:space="0" w:sz="0" w:val="nil"/>
        </w:pBdr>
        <w:rPr>
          <w:rFonts w:ascii="Poppins" w:cs="Poppins" w:eastAsia="Poppins" w:hAnsi="Poppins"/>
        </w:rPr>
      </w:pPr>
      <w:r w:rsidDel="00000000" w:rsidR="00000000" w:rsidRPr="00000000">
        <w:rPr>
          <w:rFonts w:ascii="Poppins" w:cs="Poppins" w:eastAsia="Poppins" w:hAnsi="Poppins"/>
          <w:rtl w:val="0"/>
        </w:rPr>
        <w:t xml:space="preserve">Once the Board has approved a specific program and its associated budget, the Executive Director has the authority to spend against that budget.</w:t>
      </w:r>
    </w:p>
    <w:p w:rsidR="00000000" w:rsidDel="00000000" w:rsidP="00000000" w:rsidRDefault="00000000" w:rsidRPr="00000000" w14:paraId="00000019">
      <w:pPr>
        <w:pBdr>
          <w:top w:space="0" w:sz="0" w:val="nil"/>
          <w:left w:space="0" w:sz="0" w:val="nil"/>
          <w:bottom w:space="0" w:sz="0" w:val="nil"/>
          <w:right w:space="0" w:sz="0" w:val="nil"/>
          <w:between w:space="0" w:sz="0" w:val="nil"/>
        </w:pBdr>
        <w:rPr>
          <w:rFonts w:ascii="Poppins" w:cs="Poppins" w:eastAsia="Poppins" w:hAnsi="Poppins"/>
        </w:rPr>
      </w:pPr>
      <w:r w:rsidDel="00000000" w:rsidR="00000000" w:rsidRPr="00000000">
        <w:rPr>
          <w:rFonts w:ascii="Poppins" w:cs="Poppins" w:eastAsia="Poppins" w:hAnsi="Poppins"/>
          <w:rtl w:val="0"/>
        </w:rPr>
        <w:t xml:space="preserve">When a donation is restricted, and the Board has been informed of the restriction, then the Executive Director has the authority to spend against that budget. </w:t>
      </w:r>
    </w:p>
    <w:p w:rsidR="00000000" w:rsidDel="00000000" w:rsidP="00000000" w:rsidRDefault="00000000" w:rsidRPr="00000000" w14:paraId="0000001A">
      <w:pPr>
        <w:pBdr>
          <w:top w:space="0" w:sz="0" w:val="nil"/>
          <w:left w:space="0" w:sz="0" w:val="nil"/>
          <w:bottom w:space="0" w:sz="0" w:val="nil"/>
          <w:right w:space="0" w:sz="0" w:val="nil"/>
          <w:between w:space="0" w:sz="0" w:val="nil"/>
        </w:pBdr>
        <w:rPr>
          <w:rFonts w:ascii="Poppins" w:cs="Poppins" w:eastAsia="Poppins" w:hAnsi="Poppins"/>
        </w:rPr>
      </w:pPr>
      <w:r w:rsidDel="00000000" w:rsidR="00000000" w:rsidRPr="00000000">
        <w:rPr>
          <w:rFonts w:ascii="Poppins" w:cs="Poppins" w:eastAsia="Poppins" w:hAnsi="Poppins"/>
          <w:rtl w:val="0"/>
        </w:rPr>
        <w:t xml:space="preserve">When procuring from new suppliers for all items costing over £1000 that are within budget, three quotes are required, and the Finance, Risk and Governance subcommittee (FRG) will have oversight of this process (either as an item during a meeting or over email). </w:t>
      </w:r>
    </w:p>
    <w:p w:rsidR="00000000" w:rsidDel="00000000" w:rsidP="00000000" w:rsidRDefault="00000000" w:rsidRPr="00000000" w14:paraId="0000001B">
      <w:pPr>
        <w:pBdr>
          <w:top w:space="0" w:sz="0" w:val="nil"/>
          <w:left w:space="0" w:sz="0" w:val="nil"/>
          <w:bottom w:space="0" w:sz="0" w:val="nil"/>
          <w:right w:space="0" w:sz="0" w:val="nil"/>
          <w:between w:space="0" w:sz="0" w:val="nil"/>
        </w:pBdr>
        <w:rPr>
          <w:rFonts w:ascii="Poppins" w:cs="Poppins" w:eastAsia="Poppins" w:hAnsi="Poppins"/>
        </w:rPr>
      </w:pPr>
      <w:r w:rsidDel="00000000" w:rsidR="00000000" w:rsidRPr="00000000">
        <w:rPr>
          <w:rFonts w:ascii="Poppins" w:cs="Poppins" w:eastAsia="Poppins" w:hAnsi="Poppins"/>
          <w:rtl w:val="0"/>
        </w:rPr>
        <w:t xml:space="preserve">Individual committees may approve spending of up to £5,000 for exceptional expenditure not in the budget. They should be mindful of the Charity's financial position when doing this. Where there is no clear oversight committee, spending will go to FRG for approval. All expenditure approvals of this nature should be sent to FRG, along with procurement documentation, so they are aware of the additional spend. </w:t>
      </w:r>
    </w:p>
    <w:p w:rsidR="00000000" w:rsidDel="00000000" w:rsidP="00000000" w:rsidRDefault="00000000" w:rsidRPr="00000000" w14:paraId="0000001C">
      <w:pPr>
        <w:pBdr>
          <w:top w:space="0" w:sz="0" w:val="nil"/>
          <w:left w:space="0" w:sz="0" w:val="nil"/>
          <w:bottom w:space="0" w:sz="0" w:val="nil"/>
          <w:right w:space="0" w:sz="0" w:val="nil"/>
          <w:between w:space="0" w:sz="0" w:val="nil"/>
        </w:pBdr>
        <w:rPr>
          <w:rFonts w:ascii="Poppins" w:cs="Poppins" w:eastAsia="Poppins" w:hAnsi="Poppins"/>
        </w:rPr>
      </w:pPr>
      <w:r w:rsidDel="00000000" w:rsidR="00000000" w:rsidRPr="00000000">
        <w:rPr>
          <w:rFonts w:ascii="Poppins" w:cs="Poppins" w:eastAsia="Poppins" w:hAnsi="Poppins"/>
          <w:rtl w:val="0"/>
        </w:rPr>
        <w:t xml:space="preserve">In an urgent situation, the Chair has the authority to increase the Executive Director’s spending authority to £1000, but this must be reported to the Board at the next meeting, and to the FRG if that Subcommittee should meet before the Board meeting.</w:t>
      </w:r>
    </w:p>
    <w:p w:rsidR="00000000" w:rsidDel="00000000" w:rsidP="00000000" w:rsidRDefault="00000000" w:rsidRPr="00000000" w14:paraId="0000001D">
      <w:pPr>
        <w:pBdr>
          <w:top w:space="0" w:sz="0" w:val="nil"/>
          <w:left w:space="0" w:sz="0" w:val="nil"/>
          <w:bottom w:space="0" w:sz="0" w:val="nil"/>
          <w:right w:space="0" w:sz="0" w:val="nil"/>
          <w:between w:space="0" w:sz="0" w:val="nil"/>
        </w:pBdr>
        <w:rPr>
          <w:rFonts w:ascii="Poppins" w:cs="Poppins" w:eastAsia="Poppins" w:hAnsi="Poppins"/>
        </w:rPr>
      </w:pPr>
      <w:r w:rsidDel="00000000" w:rsidR="00000000" w:rsidRPr="00000000">
        <w:rPr>
          <w:rFonts w:ascii="Poppins" w:cs="Poppins" w:eastAsia="Poppins" w:hAnsi="Poppins"/>
          <w:rtl w:val="0"/>
        </w:rPr>
        <w:t xml:space="preserve">All other spending requires a formal decision of the Board by the means laid out in the Constitution.</w:t>
      </w:r>
    </w:p>
    <w:p w:rsidR="00000000" w:rsidDel="00000000" w:rsidP="00000000" w:rsidRDefault="00000000" w:rsidRPr="00000000" w14:paraId="0000001E">
      <w:pPr>
        <w:pBdr>
          <w:top w:space="0" w:sz="0" w:val="nil"/>
          <w:left w:space="0" w:sz="0" w:val="nil"/>
          <w:bottom w:space="0" w:sz="0" w:val="nil"/>
          <w:right w:space="0" w:sz="0" w:val="nil"/>
          <w:between w:space="0" w:sz="0" w:val="nil"/>
        </w:pBdr>
        <w:rPr>
          <w:rFonts w:ascii="Poppins" w:cs="Poppins" w:eastAsia="Poppins" w:hAnsi="Poppins"/>
        </w:rPr>
      </w:pPr>
      <w:r w:rsidDel="00000000" w:rsidR="00000000" w:rsidRPr="00000000">
        <w:rPr>
          <w:rtl w:val="0"/>
        </w:rPr>
      </w:r>
    </w:p>
    <w:p w:rsidR="00000000" w:rsidDel="00000000" w:rsidP="00000000" w:rsidRDefault="00000000" w:rsidRPr="00000000" w14:paraId="0000001F">
      <w:pPr>
        <w:pStyle w:val="Heading1"/>
        <w:rPr/>
      </w:pPr>
      <w:bookmarkStart w:colFirst="0" w:colLast="0" w:name="_heading=h.v1nmzaab36n0" w:id="2"/>
      <w:bookmarkEnd w:id="2"/>
      <w:r w:rsidDel="00000000" w:rsidR="00000000" w:rsidRPr="00000000">
        <w:rPr>
          <w:rtl w:val="0"/>
        </w:rPr>
      </w:r>
    </w:p>
    <w:p w:rsidR="00000000" w:rsidDel="00000000" w:rsidP="00000000" w:rsidRDefault="00000000" w:rsidRPr="00000000" w14:paraId="00000020">
      <w:pPr>
        <w:pStyle w:val="Heading1"/>
        <w:rPr/>
      </w:pPr>
      <w:bookmarkStart w:colFirst="0" w:colLast="0" w:name="_heading=h.tgrdvpqcyfqr" w:id="3"/>
      <w:bookmarkEnd w:id="3"/>
      <w:r w:rsidDel="00000000" w:rsidR="00000000" w:rsidRPr="00000000">
        <w:rPr>
          <w:rtl w:val="0"/>
        </w:rPr>
        <w:t xml:space="preserve">Banking approvals</w:t>
      </w:r>
    </w:p>
    <w:p w:rsidR="00000000" w:rsidDel="00000000" w:rsidP="00000000" w:rsidRDefault="00000000" w:rsidRPr="00000000" w14:paraId="00000021">
      <w:pPr>
        <w:rPr>
          <w:rFonts w:ascii="Poppins" w:cs="Poppins" w:eastAsia="Poppins" w:hAnsi="Poppins"/>
        </w:rPr>
      </w:pPr>
      <w:r w:rsidDel="00000000" w:rsidR="00000000" w:rsidRPr="00000000">
        <w:rPr>
          <w:rFonts w:ascii="Poppins" w:cs="Poppins" w:eastAsia="Poppins" w:hAnsi="Poppins"/>
          <w:rtl w:val="0"/>
        </w:rPr>
        <w:t xml:space="preserve">Only Trustees may approve payments through the bank account. The approval process is as follows: </w:t>
      </w:r>
    </w:p>
    <w:p w:rsidR="00000000" w:rsidDel="00000000" w:rsidP="00000000" w:rsidRDefault="00000000" w:rsidRPr="00000000" w14:paraId="00000022">
      <w:pPr>
        <w:numPr>
          <w:ilvl w:val="0"/>
          <w:numId w:val="1"/>
        </w:numPr>
        <w:spacing w:after="0" w:lineRule="auto"/>
        <w:ind w:left="720" w:hanging="360"/>
        <w:rPr>
          <w:rFonts w:ascii="Poppins" w:cs="Poppins" w:eastAsia="Poppins" w:hAnsi="Poppins"/>
        </w:rPr>
      </w:pPr>
      <w:r w:rsidDel="00000000" w:rsidR="00000000" w:rsidRPr="00000000">
        <w:rPr>
          <w:rFonts w:ascii="Poppins" w:cs="Poppins" w:eastAsia="Poppins" w:hAnsi="Poppins"/>
          <w:rtl w:val="0"/>
        </w:rPr>
        <w:t xml:space="preserve">Invoice received by the Executive Director, other staff member or trustee </w:t>
      </w:r>
    </w:p>
    <w:p w:rsidR="00000000" w:rsidDel="00000000" w:rsidP="00000000" w:rsidRDefault="00000000" w:rsidRPr="00000000" w14:paraId="00000023">
      <w:pPr>
        <w:numPr>
          <w:ilvl w:val="0"/>
          <w:numId w:val="1"/>
        </w:numPr>
        <w:spacing w:after="0" w:lineRule="auto"/>
        <w:ind w:left="720" w:hanging="360"/>
        <w:rPr>
          <w:rFonts w:ascii="Poppins" w:cs="Poppins" w:eastAsia="Poppins" w:hAnsi="Poppins"/>
        </w:rPr>
      </w:pPr>
      <w:r w:rsidDel="00000000" w:rsidR="00000000" w:rsidRPr="00000000">
        <w:rPr>
          <w:rFonts w:ascii="Poppins" w:cs="Poppins" w:eastAsia="Poppins" w:hAnsi="Poppins"/>
          <w:rtl w:val="0"/>
        </w:rPr>
        <w:t xml:space="preserve">Invoice is passed to the Chair for review against budgets</w:t>
      </w:r>
    </w:p>
    <w:p w:rsidR="00000000" w:rsidDel="00000000" w:rsidP="00000000" w:rsidRDefault="00000000" w:rsidRPr="00000000" w14:paraId="00000024">
      <w:pPr>
        <w:numPr>
          <w:ilvl w:val="0"/>
          <w:numId w:val="1"/>
        </w:numPr>
        <w:spacing w:after="0" w:lineRule="auto"/>
        <w:ind w:left="720" w:hanging="360"/>
        <w:rPr>
          <w:rFonts w:ascii="Poppins" w:cs="Poppins" w:eastAsia="Poppins" w:hAnsi="Poppins"/>
        </w:rPr>
      </w:pPr>
      <w:r w:rsidDel="00000000" w:rsidR="00000000" w:rsidRPr="00000000">
        <w:rPr>
          <w:rFonts w:ascii="Poppins" w:cs="Poppins" w:eastAsia="Poppins" w:hAnsi="Poppins"/>
          <w:rtl w:val="0"/>
        </w:rPr>
        <w:t xml:space="preserve">If expenditure is approved, the Chair will initiate payment of the invoice on Mosaic’s Lloyds account</w:t>
      </w:r>
    </w:p>
    <w:p w:rsidR="00000000" w:rsidDel="00000000" w:rsidP="00000000" w:rsidRDefault="00000000" w:rsidRPr="00000000" w14:paraId="00000025">
      <w:pPr>
        <w:numPr>
          <w:ilvl w:val="0"/>
          <w:numId w:val="1"/>
        </w:numPr>
        <w:spacing w:after="0" w:lineRule="auto"/>
        <w:ind w:left="720" w:hanging="360"/>
        <w:rPr>
          <w:rFonts w:ascii="Poppins" w:cs="Poppins" w:eastAsia="Poppins" w:hAnsi="Poppins"/>
        </w:rPr>
      </w:pPr>
      <w:r w:rsidDel="00000000" w:rsidR="00000000" w:rsidRPr="00000000">
        <w:rPr>
          <w:rFonts w:ascii="Poppins" w:cs="Poppins" w:eastAsia="Poppins" w:hAnsi="Poppins"/>
          <w:rtl w:val="0"/>
        </w:rPr>
        <w:t xml:space="preserve">The Chair will ensure all documentation is stored in the appropriate Google drive folder </w:t>
      </w:r>
    </w:p>
    <w:p w:rsidR="00000000" w:rsidDel="00000000" w:rsidP="00000000" w:rsidRDefault="00000000" w:rsidRPr="00000000" w14:paraId="00000026">
      <w:pPr>
        <w:numPr>
          <w:ilvl w:val="0"/>
          <w:numId w:val="1"/>
        </w:numPr>
        <w:spacing w:after="0" w:lineRule="auto"/>
        <w:ind w:left="720" w:hanging="360"/>
        <w:rPr>
          <w:rFonts w:ascii="Poppins" w:cs="Poppins" w:eastAsia="Poppins" w:hAnsi="Poppins"/>
        </w:rPr>
      </w:pPr>
      <w:r w:rsidDel="00000000" w:rsidR="00000000" w:rsidRPr="00000000">
        <w:rPr>
          <w:rFonts w:ascii="Poppins" w:cs="Poppins" w:eastAsia="Poppins" w:hAnsi="Poppins"/>
          <w:rtl w:val="0"/>
        </w:rPr>
        <w:t xml:space="preserve">The Chair will request a second authorisation through the Mosaic Signers WhatsApp group, providing a link to or screenshot of documentation supporting the payment(s) needing approval</w:t>
      </w:r>
    </w:p>
    <w:p w:rsidR="00000000" w:rsidDel="00000000" w:rsidP="00000000" w:rsidRDefault="00000000" w:rsidRPr="00000000" w14:paraId="00000027">
      <w:pPr>
        <w:numPr>
          <w:ilvl w:val="0"/>
          <w:numId w:val="1"/>
        </w:numPr>
        <w:spacing w:after="0" w:lineRule="auto"/>
        <w:ind w:left="720" w:hanging="360"/>
        <w:rPr>
          <w:rFonts w:ascii="Poppins" w:cs="Poppins" w:eastAsia="Poppins" w:hAnsi="Poppins"/>
        </w:rPr>
      </w:pPr>
      <w:r w:rsidDel="00000000" w:rsidR="00000000" w:rsidRPr="00000000">
        <w:rPr>
          <w:rFonts w:ascii="Poppins" w:cs="Poppins" w:eastAsia="Poppins" w:hAnsi="Poppins"/>
          <w:rtl w:val="0"/>
        </w:rPr>
        <w:t xml:space="preserve">Second authorisation will not be made without the accompanying paperwork being provided </w:t>
      </w:r>
    </w:p>
    <w:p w:rsidR="00000000" w:rsidDel="00000000" w:rsidP="00000000" w:rsidRDefault="00000000" w:rsidRPr="00000000" w14:paraId="00000028">
      <w:pPr>
        <w:numPr>
          <w:ilvl w:val="0"/>
          <w:numId w:val="1"/>
        </w:numPr>
        <w:spacing w:after="0" w:lineRule="auto"/>
        <w:ind w:left="720" w:hanging="360"/>
        <w:rPr>
          <w:rFonts w:ascii="Poppins" w:cs="Poppins" w:eastAsia="Poppins" w:hAnsi="Poppins"/>
        </w:rPr>
      </w:pPr>
      <w:r w:rsidDel="00000000" w:rsidR="00000000" w:rsidRPr="00000000">
        <w:rPr>
          <w:rFonts w:ascii="Poppins" w:cs="Poppins" w:eastAsia="Poppins" w:hAnsi="Poppins"/>
          <w:rtl w:val="0"/>
        </w:rPr>
        <w:t xml:space="preserve">Second authoriser either confirms authorisation to the Mosaic Signers WhatsApp group or raises a query in the group/with the Chair </w:t>
      </w:r>
    </w:p>
    <w:p w:rsidR="00000000" w:rsidDel="00000000" w:rsidP="00000000" w:rsidRDefault="00000000" w:rsidRPr="00000000" w14:paraId="00000029">
      <w:pPr>
        <w:numPr>
          <w:ilvl w:val="0"/>
          <w:numId w:val="1"/>
        </w:numPr>
        <w:ind w:left="720" w:hanging="360"/>
        <w:rPr>
          <w:rFonts w:ascii="Poppins" w:cs="Poppins" w:eastAsia="Poppins" w:hAnsi="Poppins"/>
        </w:rPr>
      </w:pPr>
      <w:r w:rsidDel="00000000" w:rsidR="00000000" w:rsidRPr="00000000">
        <w:rPr>
          <w:rFonts w:ascii="Poppins" w:cs="Poppins" w:eastAsia="Poppins" w:hAnsi="Poppins"/>
          <w:rtl w:val="0"/>
        </w:rPr>
        <w:t xml:space="preserve">The Chair will record the payment and confirm to the Executive Director/external accountancy support</w:t>
      </w:r>
    </w:p>
    <w:p w:rsidR="00000000" w:rsidDel="00000000" w:rsidP="00000000" w:rsidRDefault="00000000" w:rsidRPr="00000000" w14:paraId="0000002A">
      <w:pPr>
        <w:rPr>
          <w:rFonts w:ascii="Poppins" w:cs="Poppins" w:eastAsia="Poppins" w:hAnsi="Poppins"/>
        </w:rPr>
      </w:pPr>
      <w:r w:rsidDel="00000000" w:rsidR="00000000" w:rsidRPr="00000000">
        <w:rPr>
          <w:rFonts w:ascii="Poppins" w:cs="Poppins" w:eastAsia="Poppins" w:hAnsi="Poppins"/>
          <w:rtl w:val="0"/>
        </w:rPr>
        <w:t xml:space="preserve">All Standing Orders must be signed by two trustee signatories. </w:t>
      </w:r>
    </w:p>
    <w:p w:rsidR="00000000" w:rsidDel="00000000" w:rsidP="00000000" w:rsidRDefault="00000000" w:rsidRPr="00000000" w14:paraId="0000002B">
      <w:pPr>
        <w:rPr>
          <w:rFonts w:ascii="Poppins" w:cs="Poppins" w:eastAsia="Poppins" w:hAnsi="Poppins"/>
        </w:rPr>
      </w:pPr>
      <w:r w:rsidDel="00000000" w:rsidR="00000000" w:rsidRPr="00000000">
        <w:rPr>
          <w:rFonts w:ascii="Poppins" w:cs="Poppins" w:eastAsia="Poppins" w:hAnsi="Poppins"/>
          <w:rtl w:val="0"/>
        </w:rPr>
        <w:t xml:space="preserve">Direct debits are initiated by the Executive Director and must be pre-approved through the budgeting process. These are tracked by external accountancy support. If any Direct Debits are found to have been set up in error these will be refunded via the Direct Debit Guarantee. </w:t>
      </w:r>
    </w:p>
    <w:p w:rsidR="00000000" w:rsidDel="00000000" w:rsidP="00000000" w:rsidRDefault="00000000" w:rsidRPr="00000000" w14:paraId="0000002C">
      <w:pPr>
        <w:rPr>
          <w:rFonts w:ascii="Poppins" w:cs="Poppins" w:eastAsia="Poppins" w:hAnsi="Poppins"/>
        </w:rPr>
      </w:pPr>
      <w:r w:rsidDel="00000000" w:rsidR="00000000" w:rsidRPr="00000000">
        <w:rPr>
          <w:rFonts w:ascii="Poppins" w:cs="Poppins" w:eastAsia="Poppins" w:hAnsi="Poppins"/>
          <w:rtl w:val="0"/>
        </w:rPr>
        <w:t xml:space="preserve">No Mosaic bank account is to be set up that does not require two trustees to approve payment before it is made.  The sole exception to this shall be investments where money in and out can only be via the main bank account e.g. Flagstone.  In this case any changes to the total amount invested requires two signatories but the change within the account should be approved by two trustees but may be executed by one.</w:t>
      </w:r>
    </w:p>
    <w:p w:rsidR="00000000" w:rsidDel="00000000" w:rsidP="00000000" w:rsidRDefault="00000000" w:rsidRPr="00000000" w14:paraId="0000002D">
      <w:pPr>
        <w:rPr>
          <w:rFonts w:ascii="Poppins" w:cs="Poppins" w:eastAsia="Poppins" w:hAnsi="Poppins"/>
        </w:rPr>
      </w:pPr>
      <w:r w:rsidDel="00000000" w:rsidR="00000000" w:rsidRPr="00000000">
        <w:rPr>
          <w:rFonts w:ascii="Poppins" w:cs="Poppins" w:eastAsia="Poppins" w:hAnsi="Poppins"/>
          <w:rtl w:val="0"/>
        </w:rPr>
        <w:t xml:space="preserve">At the end of each financial year, the Board shall be informed of the bank accounts in place and the trustees authorised to approve them. </w:t>
      </w:r>
    </w:p>
    <w:p w:rsidR="00000000" w:rsidDel="00000000" w:rsidP="00000000" w:rsidRDefault="00000000" w:rsidRPr="00000000" w14:paraId="0000002E">
      <w:pPr>
        <w:rPr>
          <w:rFonts w:ascii="Poppins" w:cs="Poppins" w:eastAsia="Poppins" w:hAnsi="Poppins"/>
        </w:rPr>
      </w:pPr>
      <w:r w:rsidDel="00000000" w:rsidR="00000000" w:rsidRPr="00000000">
        <w:rPr>
          <w:rFonts w:ascii="Poppins" w:cs="Poppins" w:eastAsia="Poppins" w:hAnsi="Poppins"/>
          <w:rtl w:val="0"/>
        </w:rPr>
        <w:t xml:space="preserve">As of 9th May 2026  the signatories are:</w:t>
      </w:r>
    </w:p>
    <w:p w:rsidR="00000000" w:rsidDel="00000000" w:rsidP="00000000" w:rsidRDefault="00000000" w:rsidRPr="00000000" w14:paraId="0000002F">
      <w:pPr>
        <w:rPr>
          <w:rFonts w:ascii="Poppins" w:cs="Poppins" w:eastAsia="Poppins" w:hAnsi="Poppins"/>
        </w:rPr>
      </w:pPr>
      <w:r w:rsidDel="00000000" w:rsidR="00000000" w:rsidRPr="00000000">
        <w:rPr>
          <w:rFonts w:ascii="Poppins" w:cs="Poppins" w:eastAsia="Poppins" w:hAnsi="Poppins"/>
          <w:rtl w:val="0"/>
        </w:rPr>
        <w:t xml:space="preserve">Lloyds Bank: Ken Batty, Norman Powell, Madi Pollard-Shore, Gemma Benton and Jo Wittams. </w:t>
      </w:r>
    </w:p>
    <w:p w:rsidR="00000000" w:rsidDel="00000000" w:rsidP="00000000" w:rsidRDefault="00000000" w:rsidRPr="00000000" w14:paraId="00000030">
      <w:pPr>
        <w:rPr>
          <w:rFonts w:ascii="Poppins" w:cs="Poppins" w:eastAsia="Poppins" w:hAnsi="Poppins"/>
        </w:rPr>
      </w:pPr>
      <w:r w:rsidDel="00000000" w:rsidR="00000000" w:rsidRPr="00000000">
        <w:rPr>
          <w:rFonts w:ascii="Poppins" w:cs="Poppins" w:eastAsia="Poppins" w:hAnsi="Poppins"/>
          <w:rtl w:val="0"/>
        </w:rPr>
        <w:t xml:space="preserve">Online approvers are: Ken Batty, Jo Wittams, Madi Pollard-Shore and Gemma Benton. </w:t>
      </w:r>
    </w:p>
    <w:p w:rsidR="00000000" w:rsidDel="00000000" w:rsidP="00000000" w:rsidRDefault="00000000" w:rsidRPr="00000000" w14:paraId="00000031">
      <w:pPr>
        <w:rPr/>
      </w:pPr>
      <w:r w:rsidDel="00000000" w:rsidR="00000000" w:rsidRPr="00000000">
        <w:rPr>
          <w:rFonts w:ascii="Poppins" w:cs="Poppins" w:eastAsia="Poppins" w:hAnsi="Poppins"/>
          <w:rtl w:val="0"/>
        </w:rPr>
        <w:t xml:space="preserve">Flagstone Investment Management: solely accessed by Ken Batty. This investment management account can only accept funds from Mosaic’s Lloyds Account. Funds can only be deposited/withdrawn into Mosaic’s Lloyds account.  </w:t>
      </w:r>
      <w:r w:rsidDel="00000000" w:rsidR="00000000" w:rsidRPr="00000000">
        <w:rPr>
          <w:rtl w:val="0"/>
        </w:rPr>
      </w:r>
    </w:p>
    <w:sectPr>
      <w:headerReference r:id="rId7" w:type="default"/>
      <w:pgSz w:h="16838" w:w="11906"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Poppi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2">
    <w:pPr>
      <w:rPr/>
    </w:pPr>
    <w:r w:rsidDel="00000000" w:rsidR="00000000" w:rsidRPr="00000000">
      <w:rPr/>
      <w:drawing>
        <wp:anchor allowOverlap="1" behindDoc="0" distB="114300" distT="114300" distL="114300" distR="114300" hidden="0" layoutInCell="1" locked="0" relativeHeight="0" simplePos="0">
          <wp:simplePos x="0" y="0"/>
          <wp:positionH relativeFrom="page">
            <wp:posOffset>-29997</wp:posOffset>
          </wp:positionH>
          <wp:positionV relativeFrom="page">
            <wp:posOffset>7268</wp:posOffset>
          </wp:positionV>
          <wp:extent cx="7623338" cy="190500"/>
          <wp:effectExtent b="0" l="0" r="0" t="0"/>
          <wp:wrapSquare wrapText="bothSides" distB="114300" distT="114300" distL="114300" distR="114300"/>
          <wp:docPr id="3"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623338" cy="190500"/>
                  </a:xfrm>
                  <a:prstGeom prst="rect"/>
                  <a:ln/>
                </pic:spPr>
              </pic:pic>
            </a:graphicData>
          </a:graphic>
        </wp:anchor>
      </w:drawing>
    </w:r>
    <w:r w:rsidDel="00000000" w:rsidR="00000000" w:rsidRPr="00000000">
      <w:rPr/>
      <w:drawing>
        <wp:inline distB="114300" distT="114300" distL="114300" distR="114300">
          <wp:extent cx="5731200" cy="444500"/>
          <wp:effectExtent b="0" l="0" r="0" t="0"/>
          <wp:docPr id="4" name="image2.png"/>
          <a:graphic>
            <a:graphicData uri="http://schemas.openxmlformats.org/drawingml/2006/picture">
              <pic:pic>
                <pic:nvPicPr>
                  <pic:cNvPr id="0" name="image2.png"/>
                  <pic:cNvPicPr preferRelativeResize="0"/>
                </pic:nvPicPr>
                <pic:blipFill>
                  <a:blip r:embed="rId2"/>
                  <a:srcRect b="0" l="0" r="0" t="0"/>
                  <a:stretch>
                    <a:fillRect/>
                  </a:stretch>
                </pic:blipFill>
                <pic:spPr>
                  <a:xfrm>
                    <a:off x="0" y="0"/>
                    <a:ext cx="5731200" cy="4445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Pr>
    <w:rPr>
      <w:rFonts w:ascii="Poppins" w:cs="Poppins" w:eastAsia="Poppins" w:hAnsi="Poppins"/>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60" w:line="276" w:lineRule="auto"/>
      <w:ind w:right="6"/>
    </w:pPr>
    <w:rPr>
      <w:rFonts w:ascii="Poppins" w:cs="Poppins" w:eastAsia="Poppins" w:hAnsi="Poppins"/>
      <w:b w:val="1"/>
      <w:bCs w:val="1"/>
      <w:sz w:val="104"/>
      <w:szCs w:val="104"/>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Poppins-regular.ttf"/><Relationship Id="rId2" Type="http://schemas.openxmlformats.org/officeDocument/2006/relationships/font" Target="fonts/Poppins-bold.ttf"/><Relationship Id="rId3" Type="http://schemas.openxmlformats.org/officeDocument/2006/relationships/font" Target="fonts/Poppins-italic.ttf"/><Relationship Id="rId4" Type="http://schemas.openxmlformats.org/officeDocument/2006/relationships/font" Target="fonts/Poppins-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9PKlg5DcW18R66hLO52vMg97SxA==">CgMxLjAyDmgucTVuZjRlajExOTNpMg5oLnY3d2g4MnU2MG9veDIOaC52MW5temFhYjM2bjAyDmgudGdyZHZwcWN5ZnFyOAByITFjSDZhc1lsYXc4eTV3YWFkRThiVTM5NlZGcElXQUllUg==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2023-08-14T11:08:00Z</dcterms:created>
  <dc:creator>Ken Batty2</dc:creator>
</cp:coreProperties>
</file>